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346" w:rsidRPr="00B93314" w:rsidRDefault="00992346" w:rsidP="000719D2">
      <w:pPr>
        <w:pBdr>
          <w:top w:val="single" w:sz="4" w:space="1" w:color="auto"/>
          <w:left w:val="single" w:sz="4" w:space="4" w:color="auto"/>
          <w:bottom w:val="single" w:sz="4" w:space="1" w:color="auto"/>
          <w:right w:val="single" w:sz="4" w:space="4" w:color="auto"/>
        </w:pBdr>
        <w:jc w:val="center"/>
        <w:rPr>
          <w:b/>
          <w:sz w:val="28"/>
          <w:szCs w:val="28"/>
        </w:rPr>
      </w:pPr>
      <w:r>
        <w:rPr>
          <w:b/>
          <w:sz w:val="28"/>
          <w:szCs w:val="28"/>
        </w:rPr>
        <w:t>Audience solennelle du 30 octobre 2015</w:t>
      </w:r>
    </w:p>
    <w:p w:rsidR="00992346" w:rsidRDefault="00992346" w:rsidP="000719D2">
      <w:pPr>
        <w:pBdr>
          <w:top w:val="single" w:sz="4" w:space="1" w:color="auto"/>
          <w:left w:val="single" w:sz="4" w:space="4" w:color="auto"/>
          <w:bottom w:val="single" w:sz="4" w:space="1" w:color="auto"/>
          <w:right w:val="single" w:sz="4" w:space="4" w:color="auto"/>
        </w:pBdr>
        <w:jc w:val="center"/>
        <w:rPr>
          <w:b/>
          <w:sz w:val="28"/>
          <w:szCs w:val="28"/>
        </w:rPr>
      </w:pPr>
      <w:r>
        <w:rPr>
          <w:b/>
          <w:sz w:val="28"/>
          <w:szCs w:val="28"/>
        </w:rPr>
        <w:t>La cour se met en scène – La Métropole</w:t>
      </w:r>
    </w:p>
    <w:p w:rsidR="00992346" w:rsidRPr="00093721" w:rsidRDefault="00992346" w:rsidP="00093721">
      <w:pPr>
        <w:rPr>
          <w:sz w:val="28"/>
          <w:szCs w:val="28"/>
        </w:rPr>
      </w:pPr>
    </w:p>
    <w:p w:rsidR="00992346" w:rsidRDefault="00992346" w:rsidP="0037455B">
      <w:r>
        <w:t>Après avoir passé quelques vacances outre-mer, après s’être confrontés aux enjeux de l’actualité, après avoir flâné dans les campagnes du sud-ouest de la France, il est temps de revenir au siège de la cour, au cœur de la métropole de Bordeaux.</w:t>
      </w:r>
    </w:p>
    <w:p w:rsidR="00992346" w:rsidRDefault="00992346" w:rsidP="0037455B">
      <w:pPr>
        <w:pStyle w:val="Heading1"/>
        <w:numPr>
          <w:ilvl w:val="0"/>
          <w:numId w:val="26"/>
        </w:numPr>
      </w:pPr>
      <w:r>
        <w:t>L’arrivée par l’ouest</w:t>
      </w:r>
    </w:p>
    <w:p w:rsidR="00992346" w:rsidRDefault="00992346" w:rsidP="0037455B">
      <w:pPr>
        <w:rPr>
          <w:lang w:eastAsia="ar-SA"/>
        </w:rPr>
      </w:pPr>
      <w:r>
        <w:rPr>
          <w:lang w:eastAsia="ar-SA"/>
        </w:rPr>
        <w:t>Le visiteur qui voudrait entrer dans l’agglomération, s’il vient du nord-ouest, peut passer par Eysines, longer l’hippodrome, emprunter l’avenue de la Libération, puis la rue Fondaudège, et déboucher sur l’esplanade des Quinconces. Il peut aussi, s’il arrive plus au nord, suivre la voie ferrée, en traversant Bruges, pour finalement rejoindre la place Ravezies. Dans les deux cas, ce visiteur met ses pas, sans le savoir, dans ceux de la cour administrative d’appel.</w:t>
      </w:r>
    </w:p>
    <w:p w:rsidR="00992346" w:rsidRDefault="00992346" w:rsidP="0037455B">
      <w:pPr>
        <w:rPr>
          <w:lang w:eastAsia="ar-SA"/>
        </w:rPr>
      </w:pPr>
      <w:r>
        <w:rPr>
          <w:lang w:eastAsia="ar-SA"/>
        </w:rPr>
        <w:t>Le 21 juillet dernier, en effet, la cour a été amenée à statuer sur la légalité des deux déclarations d’utilité publique relatives, respectivement, à la future ligne D du tramway, entre Eysines et la place des Quinconces, et au tram-train du Médoc, entre Blanquefort et Bordeaux. A cette occasion, cour a relevé que, dans le dossier d’enquête publique, avaient figuré</w:t>
      </w:r>
      <w:r w:rsidRPr="008E7F31">
        <w:rPr>
          <w:lang w:eastAsia="ar-SA"/>
        </w:rPr>
        <w:t xml:space="preserve"> les éléments d’information essentiels imposés par la loi. Elle a constaté </w:t>
      </w:r>
      <w:r>
        <w:rPr>
          <w:lang w:eastAsia="ar-SA"/>
        </w:rPr>
        <w:t>notamment</w:t>
      </w:r>
      <w:r w:rsidRPr="008E7F31">
        <w:rPr>
          <w:lang w:eastAsia="ar-SA"/>
        </w:rPr>
        <w:t xml:space="preserve"> que les projets en litige constituaient seulement des extensions de la ligne C existante et en conséquence, que l’expropriant avait pu valablement présenter dans l’évaluation socio-économique une analyse globale des fréquentations, des financements, ainsi que des coûts d’exploitation et d’entretien. Elle a estimé enfin qu’aucun des éléments de</w:t>
      </w:r>
      <w:r>
        <w:rPr>
          <w:lang w:eastAsia="ar-SA"/>
        </w:rPr>
        <w:t xml:space="preserve"> l’évaluation socio-économique </w:t>
      </w:r>
      <w:r w:rsidRPr="008E7F31">
        <w:rPr>
          <w:lang w:eastAsia="ar-SA"/>
        </w:rPr>
        <w:t>n’avait été manifestement surévalué ou mal-évalué pour les nouveaux tronçons.</w:t>
      </w:r>
      <w:r>
        <w:rPr>
          <w:lang w:eastAsia="ar-SA"/>
        </w:rPr>
        <w:t xml:space="preserve"> Elle a donc considéré à cet égard - au terme d’une appréciation délicate puisque les premiers juges avaient retenu la solution inverse - que</w:t>
      </w:r>
      <w:r w:rsidRPr="00294C96">
        <w:rPr>
          <w:lang w:eastAsia="ar-SA"/>
        </w:rPr>
        <w:t xml:space="preserve"> l’évaluation socio-économique de</w:t>
      </w:r>
      <w:r>
        <w:rPr>
          <w:lang w:eastAsia="ar-SA"/>
        </w:rPr>
        <w:t xml:space="preserve"> ce</w:t>
      </w:r>
      <w:r w:rsidRPr="00294C96">
        <w:rPr>
          <w:lang w:eastAsia="ar-SA"/>
        </w:rPr>
        <w:t xml:space="preserve">s projets </w:t>
      </w:r>
      <w:r>
        <w:rPr>
          <w:lang w:eastAsia="ar-SA"/>
        </w:rPr>
        <w:t>avait été</w:t>
      </w:r>
      <w:r w:rsidRPr="00294C96">
        <w:rPr>
          <w:lang w:eastAsia="ar-SA"/>
        </w:rPr>
        <w:t xml:space="preserve"> sincère et fiable,</w:t>
      </w:r>
      <w:r>
        <w:rPr>
          <w:lang w:eastAsia="ar-SA"/>
        </w:rPr>
        <w:t xml:space="preserve"> et par conséquent, que cette évaluation avait été de </w:t>
      </w:r>
      <w:r w:rsidRPr="00294C96">
        <w:rPr>
          <w:lang w:eastAsia="ar-SA"/>
        </w:rPr>
        <w:t>nature à éclairer</w:t>
      </w:r>
      <w:r>
        <w:rPr>
          <w:lang w:eastAsia="ar-SA"/>
        </w:rPr>
        <w:t xml:space="preserve"> suffisamment l’appréciation du public, conformément à la loi.</w:t>
      </w:r>
    </w:p>
    <w:p w:rsidR="00992346" w:rsidRDefault="00992346" w:rsidP="00AC33B4">
      <w:pPr>
        <w:pStyle w:val="Heading1"/>
        <w:numPr>
          <w:ilvl w:val="0"/>
          <w:numId w:val="26"/>
        </w:numPr>
      </w:pPr>
      <w:r>
        <w:t>Le détour par le nord</w:t>
      </w:r>
    </w:p>
    <w:p w:rsidR="00992346" w:rsidRPr="000341A7" w:rsidRDefault="00992346" w:rsidP="00AC33B4">
      <w:pPr>
        <w:rPr>
          <w:sz w:val="28"/>
          <w:szCs w:val="28"/>
        </w:rPr>
      </w:pPr>
      <w:r>
        <w:rPr>
          <w:lang w:eastAsia="ar-SA"/>
        </w:rPr>
        <w:t>Notre visiteur est un amateur de spectacles sportifs, ou peut-être est-il sportif lui-même. Aux Quinconces ou place Ravezies, il décide de reprendre le tramway en direction de Bordeaux Lac et du parc des expositions pour rejoindre le nouveau stade de Bordeaux, édifié</w:t>
      </w:r>
      <w:r w:rsidRPr="00AC33B4">
        <w:t xml:space="preserve"> </w:t>
      </w:r>
      <w:r>
        <w:t>en prévision notamment du</w:t>
      </w:r>
      <w:r w:rsidRPr="000341A7">
        <w:t xml:space="preserve"> championnat d’Europe de football de 2016</w:t>
      </w:r>
      <w:r>
        <w:rPr>
          <w:lang w:eastAsia="ar-SA"/>
        </w:rPr>
        <w:t xml:space="preserve">. Ce qu’il ignore encore, c’est que la cour administrative d’appel, elle aussi, a décidé de se mettre au sport. </w:t>
      </w:r>
      <w:r w:rsidRPr="000341A7">
        <w:rPr>
          <w:sz w:val="28"/>
          <w:szCs w:val="28"/>
        </w:rPr>
        <w:t xml:space="preserve"> </w:t>
      </w:r>
    </w:p>
    <w:p w:rsidR="00992346" w:rsidRDefault="00992346" w:rsidP="00C23907">
      <w:r w:rsidRPr="000341A7">
        <w:t>En vue d</w:t>
      </w:r>
      <w:r>
        <w:t>e la construction de ce</w:t>
      </w:r>
      <w:r w:rsidRPr="000341A7">
        <w:t xml:space="preserve"> nouveau stade, </w:t>
      </w:r>
      <w:r>
        <w:t>le conseil municipal</w:t>
      </w:r>
      <w:r w:rsidRPr="000341A7">
        <w:t xml:space="preserve"> de Bordeaux a autorisé </w:t>
      </w:r>
      <w:r>
        <w:t>le</w:t>
      </w:r>
      <w:r w:rsidRPr="000341A7">
        <w:t xml:space="preserve"> maire</w:t>
      </w:r>
      <w:r>
        <w:t xml:space="preserve"> de cette commune, d’une part</w:t>
      </w:r>
      <w:r w:rsidRPr="000341A7">
        <w:t>, à conclure un contrat de partenariat public-privé pour la construction et l’exploitation de ce nouvel équipement sportif</w:t>
      </w:r>
      <w:r>
        <w:t>, d’autre part,</w:t>
      </w:r>
      <w:r w:rsidRPr="000341A7">
        <w:t xml:space="preserve"> à conclure un autre contrat, dénommé « accord autonome », destiné à garantir des prêts bancaires consentis </w:t>
      </w:r>
      <w:r>
        <w:t>pour le projet. Ces deux délibérations ont chacune fait l’objet d’un recours pour excès de pouvoir</w:t>
      </w:r>
    </w:p>
    <w:p w:rsidR="00992346" w:rsidRDefault="00992346" w:rsidP="00C23907">
      <w:r>
        <w:t xml:space="preserve"> </w:t>
      </w:r>
      <w:r w:rsidRPr="008E7F31">
        <w:t xml:space="preserve">Dans un premier arrêt, relatif au contrat de partenariat lui-même, </w:t>
      </w:r>
      <w:r>
        <w:t>la problématique portait principalement sur l’information qui est due, légalement, aux élus, et en particulier, sur l’information qui doit leur être donnée à propos du coût prévisionnel global du contrat en moyenne annuelle.  L</w:t>
      </w:r>
      <w:r w:rsidRPr="008E7F31">
        <w:t>a cour</w:t>
      </w:r>
      <w:r>
        <w:t xml:space="preserve"> a jugé</w:t>
      </w:r>
      <w:r w:rsidRPr="008E7F31">
        <w:t xml:space="preserve"> </w:t>
      </w:r>
      <w:r>
        <w:t xml:space="preserve">à cet égard </w:t>
      </w:r>
      <w:r w:rsidRPr="008E7F31">
        <w:t xml:space="preserve">que </w:t>
      </w:r>
      <w:r>
        <w:t>ce</w:t>
      </w:r>
      <w:r w:rsidRPr="008E7F31">
        <w:t xml:space="preserve"> coût prévisionnel se calcule en prenant en compte, d’un côté, les redevances payées par la personne publique pour rémunérer le titulaire du contrat des prestations qu’il a effectuées à raison de ce contrat et, de l’autre, les recettes générées par le contrat et reversées à la personne publique. Elle en </w:t>
      </w:r>
      <w:r>
        <w:t xml:space="preserve">a </w:t>
      </w:r>
      <w:r w:rsidRPr="008E7F31">
        <w:t xml:space="preserve">déduit que les autres sommes qui pourraient être versées au partenaire ou, au contraire, qui seraient versées à la personne publique en cours d’exécution du contrat, </w:t>
      </w:r>
      <w:r>
        <w:t>n’étaient</w:t>
      </w:r>
      <w:r w:rsidRPr="008E7F31">
        <w:t xml:space="preserve"> pas au nombre de celles devant être intégrées dans ce coût prévisionnel global.</w:t>
      </w:r>
      <w:r>
        <w:t xml:space="preserve"> Par suite, quand bien même ces autres versements n’auraient pas été suffisamment portés à leur connaissance, les élus avaient reçus l’information requise par la loi.</w:t>
      </w:r>
    </w:p>
    <w:p w:rsidR="00992346" w:rsidRDefault="00992346" w:rsidP="008E7F31">
      <w:r>
        <w:t>Dans un second arrêt, relatif à « l’accord autonome », la cour a jugé que le contrat en cause, qui déterminait la garantie due par la commune de Bordeaux en cas de recours contre le contrat de partenariat lui-même, n’avait pas pour effet de contraindre la commune à verser une libéralité prohibée.</w:t>
      </w:r>
    </w:p>
    <w:p w:rsidR="00992346" w:rsidRPr="000341A7" w:rsidRDefault="00992346" w:rsidP="00C23907">
      <w:r>
        <w:t>Comme le tribunal administratif avant elle, la cour a donc estimé, le 17 juin 2014, que les deux délibérations contestées étaient légales.</w:t>
      </w:r>
    </w:p>
    <w:p w:rsidR="00992346" w:rsidRDefault="00992346" w:rsidP="00C23907">
      <w:pPr>
        <w:pStyle w:val="Heading1"/>
        <w:numPr>
          <w:ilvl w:val="0"/>
          <w:numId w:val="26"/>
        </w:numPr>
      </w:pPr>
      <w:r>
        <w:t>Le cœur de la métropole</w:t>
      </w:r>
    </w:p>
    <w:p w:rsidR="00992346" w:rsidRDefault="00992346" w:rsidP="00C23907">
      <w:pPr>
        <w:rPr>
          <w:lang w:eastAsia="ar-SA"/>
        </w:rPr>
      </w:pPr>
      <w:r>
        <w:rPr>
          <w:lang w:eastAsia="ar-SA"/>
        </w:rPr>
        <w:t>Notre visiteur est-il frappé par une malédiction ? Où qu’il aille, la cour administrative d’appel semble le poursuivre. Retourné en centre-ville, peut-être après un match, et cherchant son chemin vers la Galerie des Beaux-Arts, il découvre, au détour de la rue du docteur Nancel Pénard, la silhouette imposante de la Cité municipale. Or, la cour a également été saisie de la légalité de la délibération autorisant le maire de Bordeaux à signer le contrat de partenariat conclu pour l’édification, l’exploitation et la maintenance de ce bâtiment.</w:t>
      </w:r>
    </w:p>
    <w:p w:rsidR="00992346" w:rsidRPr="008E7F31" w:rsidRDefault="00992346" w:rsidP="008E7F31">
      <w:pPr>
        <w:rPr>
          <w:lang w:eastAsia="ar-SA"/>
        </w:rPr>
      </w:pPr>
      <w:r>
        <w:rPr>
          <w:lang w:eastAsia="ar-SA"/>
        </w:rPr>
        <w:t>Il résulte du code général des collectivités territoriales que le recours au contrat de partenariat est légal en particulier s’il existe, à la date à laquelle une évaluation préalable prévue par la loi est adoptée, des circonstances particulières de nature à établir qu'il était impossible à la collectivité territoriale de définir, seule et à l'avance, les moyens techniques propres à satisfaire ses besoins. Le projet de la commune de Bordeaux consistait en la réalisation d’un grand bâtiment, qui devait être apte à accueillir de concert le public et plus de 800 agents municipaux, mais qui devait néanmoins présenter un bilan énergétique positif. Pour le dire autrement, le bâtiment devait être capable de produire, sur le long terme, plus d’énergie qu’il n’en consommerait. La cour a relevé en particulier qu’en juillet 2010, c’est à dire à l’époque de l’évaluation préalable, la recherche de bâtiments présentant un bilan énergétique positif relevait encore de l’expérimentation. L’objectif énergétique recherché par la ville de Bordeaux et les moyens techniques propres à y faire face devaient, de plus, être compatibles avec les contraintes notamment architecturales liées à l’implantation du projet. Corrélativement, les ressources humaines disponibles de la commune, telles qu’elles ressortaient des pièces du dossier, apparaissaient trop peu nombreuses et trop peu spécialisées pour faire face à un tel projet.</w:t>
      </w:r>
    </w:p>
    <w:p w:rsidR="00992346" w:rsidRPr="00C23907" w:rsidRDefault="00992346" w:rsidP="00C23907">
      <w:pPr>
        <w:rPr>
          <w:lang w:eastAsia="ar-SA"/>
        </w:rPr>
      </w:pPr>
      <w:r>
        <w:rPr>
          <w:lang w:eastAsia="ar-SA"/>
        </w:rPr>
        <w:t xml:space="preserve"> Là encore, au terme d’une appréciation suffisamment délicate pour avoir laissé la place à un désaccord avec le tribunal administratif, la cour a estimé que la complexité de ce projet de bâtiment à énergie positive avait justifié légalement la délibération qui était contestée devant elle.</w:t>
      </w:r>
    </w:p>
    <w:sectPr w:rsidR="00992346" w:rsidRPr="00C23907" w:rsidSect="00F74DC4">
      <w:pgSz w:w="11906" w:h="16838"/>
      <w:pgMar w:top="1417" w:right="1417" w:bottom="1417" w:left="1417" w:header="708" w:footer="708" w:gutter="0"/>
      <w:cols w:space="708"/>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 CHRISTY">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F24D7D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4B86D77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7898BCD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B4DE3F3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C2DACD5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68A24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D72981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0E02C5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7B08D8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807CAB2E"/>
    <w:lvl w:ilvl="0">
      <w:start w:val="1"/>
      <w:numFmt w:val="bullet"/>
      <w:lvlText w:val=""/>
      <w:lvlJc w:val="left"/>
      <w:pPr>
        <w:tabs>
          <w:tab w:val="num" w:pos="360"/>
        </w:tabs>
        <w:ind w:left="360" w:hanging="360"/>
      </w:pPr>
      <w:rPr>
        <w:rFonts w:ascii="Symbol" w:hAnsi="Symbol" w:hint="default"/>
      </w:rPr>
    </w:lvl>
  </w:abstractNum>
  <w:abstractNum w:abstractNumId="10">
    <w:nsid w:val="76B12AB6"/>
    <w:multiLevelType w:val="multilevel"/>
    <w:tmpl w:val="9F2ABA48"/>
    <w:lvl w:ilvl="0">
      <w:start w:val="1"/>
      <w:numFmt w:val="decimal"/>
      <w:lvlText w:val="%1"/>
      <w:lvlJc w:val="left"/>
      <w:pPr>
        <w:tabs>
          <w:tab w:val="num" w:pos="792"/>
        </w:tabs>
        <w:ind w:left="792" w:hanging="432"/>
      </w:pPr>
      <w:rPr>
        <w:rFonts w:cs="Times New Roman" w:hint="default"/>
      </w:rPr>
    </w:lvl>
    <w:lvl w:ilvl="1">
      <w:start w:val="1"/>
      <w:numFmt w:val="decimal"/>
      <w:lvlText w:val="%1.%2"/>
      <w:lvlJc w:val="left"/>
      <w:pPr>
        <w:tabs>
          <w:tab w:val="num" w:pos="936"/>
        </w:tabs>
        <w:ind w:left="936" w:hanging="576"/>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224"/>
        </w:tabs>
        <w:ind w:left="1224" w:hanging="864"/>
      </w:pPr>
      <w:rPr>
        <w:rFonts w:cs="Times New Roman"/>
      </w:rPr>
    </w:lvl>
    <w:lvl w:ilvl="4">
      <w:start w:val="1"/>
      <w:numFmt w:val="decimal"/>
      <w:lvlText w:val="%1.%2.%3.%4.%5"/>
      <w:lvlJc w:val="left"/>
      <w:pPr>
        <w:tabs>
          <w:tab w:val="num" w:pos="1368"/>
        </w:tabs>
        <w:ind w:left="1368" w:hanging="1008"/>
      </w:pPr>
      <w:rPr>
        <w:rFonts w:cs="Times New Roman"/>
      </w:rPr>
    </w:lvl>
    <w:lvl w:ilvl="5">
      <w:start w:val="1"/>
      <w:numFmt w:val="decimal"/>
      <w:lvlText w:val="%1.%2.%3.%4.%5.%6"/>
      <w:lvlJc w:val="left"/>
      <w:pPr>
        <w:tabs>
          <w:tab w:val="num" w:pos="1512"/>
        </w:tabs>
        <w:ind w:left="1512" w:hanging="1152"/>
      </w:pPr>
      <w:rPr>
        <w:rFonts w:cs="Times New Roman"/>
      </w:rPr>
    </w:lvl>
    <w:lvl w:ilvl="6">
      <w:start w:val="1"/>
      <w:numFmt w:val="decimal"/>
      <w:lvlText w:val="%1.%2.%3.%4.%5.%6.%7"/>
      <w:lvlJc w:val="left"/>
      <w:pPr>
        <w:tabs>
          <w:tab w:val="num" w:pos="1656"/>
        </w:tabs>
        <w:ind w:left="1656" w:hanging="1296"/>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1944"/>
        </w:tabs>
        <w:ind w:left="1944" w:hanging="1584"/>
      </w:pPr>
      <w:rPr>
        <w:rFonts w:cs="Times New Roman"/>
      </w:rPr>
    </w:lvl>
  </w:abstractNum>
  <w:num w:numId="1">
    <w:abstractNumId w:val="9"/>
  </w:num>
  <w:num w:numId="2">
    <w:abstractNumId w:val="9"/>
  </w:num>
  <w:num w:numId="3">
    <w:abstractNumId w:val="9"/>
  </w:num>
  <w:num w:numId="4">
    <w:abstractNumId w:val="10"/>
  </w:num>
  <w:num w:numId="5">
    <w:abstractNumId w:val="10"/>
  </w:num>
  <w:num w:numId="6">
    <w:abstractNumId w:val="10"/>
  </w:num>
  <w:num w:numId="7">
    <w:abstractNumId w:val="10"/>
  </w:num>
  <w:num w:numId="8">
    <w:abstractNumId w:val="8"/>
  </w:num>
  <w:num w:numId="9">
    <w:abstractNumId w:val="3"/>
  </w:num>
  <w:num w:numId="10">
    <w:abstractNumId w:val="2"/>
  </w:num>
  <w:num w:numId="11">
    <w:abstractNumId w:val="1"/>
  </w:num>
  <w:num w:numId="12">
    <w:abstractNumId w:val="0"/>
  </w:num>
  <w:num w:numId="13">
    <w:abstractNumId w:val="9"/>
  </w:num>
  <w:num w:numId="14">
    <w:abstractNumId w:val="7"/>
  </w:num>
  <w:num w:numId="15">
    <w:abstractNumId w:val="6"/>
  </w:num>
  <w:num w:numId="16">
    <w:abstractNumId w:val="5"/>
  </w:num>
  <w:num w:numId="17">
    <w:abstractNumId w:val="4"/>
  </w:num>
  <w:num w:numId="18">
    <w:abstractNumId w:val="10"/>
  </w:num>
  <w:num w:numId="19">
    <w:abstractNumId w:val="10"/>
  </w:num>
  <w:num w:numId="20">
    <w:abstractNumId w:val="10"/>
  </w:num>
  <w:num w:numId="21">
    <w:abstractNumId w:val="10"/>
  </w:num>
  <w:num w:numId="22">
    <w:abstractNumId w:val="10"/>
  </w:num>
  <w:num w:numId="23">
    <w:abstractNumId w:val="10"/>
  </w:num>
  <w:num w:numId="24">
    <w:abstractNumId w:val="10"/>
  </w:num>
  <w:num w:numId="25">
    <w:abstractNumId w:val="1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755B9"/>
    <w:rsid w:val="000341A7"/>
    <w:rsid w:val="0004446D"/>
    <w:rsid w:val="00066E9A"/>
    <w:rsid w:val="000719D2"/>
    <w:rsid w:val="00071E29"/>
    <w:rsid w:val="00086748"/>
    <w:rsid w:val="00091EFC"/>
    <w:rsid w:val="00093721"/>
    <w:rsid w:val="000C6CF1"/>
    <w:rsid w:val="000C7C13"/>
    <w:rsid w:val="0012521F"/>
    <w:rsid w:val="00150554"/>
    <w:rsid w:val="00171498"/>
    <w:rsid w:val="001A4B73"/>
    <w:rsid w:val="002225A6"/>
    <w:rsid w:val="00233455"/>
    <w:rsid w:val="00240511"/>
    <w:rsid w:val="002633B8"/>
    <w:rsid w:val="00272BF5"/>
    <w:rsid w:val="00294C96"/>
    <w:rsid w:val="002B574A"/>
    <w:rsid w:val="002C6214"/>
    <w:rsid w:val="002E193B"/>
    <w:rsid w:val="002F67D1"/>
    <w:rsid w:val="00315047"/>
    <w:rsid w:val="0037455B"/>
    <w:rsid w:val="003944C8"/>
    <w:rsid w:val="003C6F08"/>
    <w:rsid w:val="003F7DA9"/>
    <w:rsid w:val="00433382"/>
    <w:rsid w:val="00474AB5"/>
    <w:rsid w:val="004A0C19"/>
    <w:rsid w:val="004F2014"/>
    <w:rsid w:val="0050574D"/>
    <w:rsid w:val="00540D1F"/>
    <w:rsid w:val="00552EE2"/>
    <w:rsid w:val="00555F20"/>
    <w:rsid w:val="005D5ECD"/>
    <w:rsid w:val="0062232E"/>
    <w:rsid w:val="00637D23"/>
    <w:rsid w:val="006454CC"/>
    <w:rsid w:val="006511DE"/>
    <w:rsid w:val="00671860"/>
    <w:rsid w:val="00692195"/>
    <w:rsid w:val="006A2668"/>
    <w:rsid w:val="006A66B1"/>
    <w:rsid w:val="006B6E4C"/>
    <w:rsid w:val="006F12E6"/>
    <w:rsid w:val="0070015D"/>
    <w:rsid w:val="007061EA"/>
    <w:rsid w:val="00711A56"/>
    <w:rsid w:val="00760848"/>
    <w:rsid w:val="0077151D"/>
    <w:rsid w:val="00824A6B"/>
    <w:rsid w:val="008332DF"/>
    <w:rsid w:val="008340A6"/>
    <w:rsid w:val="008511E1"/>
    <w:rsid w:val="00853BA5"/>
    <w:rsid w:val="0086121C"/>
    <w:rsid w:val="008E7F31"/>
    <w:rsid w:val="0091510D"/>
    <w:rsid w:val="00916ADC"/>
    <w:rsid w:val="00955CDA"/>
    <w:rsid w:val="00957725"/>
    <w:rsid w:val="00992346"/>
    <w:rsid w:val="009D0CFD"/>
    <w:rsid w:val="009F684B"/>
    <w:rsid w:val="00A545C4"/>
    <w:rsid w:val="00A672A5"/>
    <w:rsid w:val="00AB28A6"/>
    <w:rsid w:val="00AC33B4"/>
    <w:rsid w:val="00AE0487"/>
    <w:rsid w:val="00AE0B5C"/>
    <w:rsid w:val="00B05EC6"/>
    <w:rsid w:val="00B177F8"/>
    <w:rsid w:val="00B442A1"/>
    <w:rsid w:val="00B74A77"/>
    <w:rsid w:val="00B755B9"/>
    <w:rsid w:val="00B93314"/>
    <w:rsid w:val="00C15BB4"/>
    <w:rsid w:val="00C23907"/>
    <w:rsid w:val="00C42E32"/>
    <w:rsid w:val="00CD3810"/>
    <w:rsid w:val="00CD40BC"/>
    <w:rsid w:val="00CD5D7C"/>
    <w:rsid w:val="00D11B39"/>
    <w:rsid w:val="00D279F0"/>
    <w:rsid w:val="00D746AC"/>
    <w:rsid w:val="00D77EF6"/>
    <w:rsid w:val="00DB620B"/>
    <w:rsid w:val="00E13C26"/>
    <w:rsid w:val="00E47518"/>
    <w:rsid w:val="00E850F2"/>
    <w:rsid w:val="00ED478B"/>
    <w:rsid w:val="00EF684D"/>
    <w:rsid w:val="00F265F5"/>
    <w:rsid w:val="00F32FE4"/>
    <w:rsid w:val="00F45536"/>
    <w:rsid w:val="00F65C1C"/>
    <w:rsid w:val="00F74DC4"/>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D279F0"/>
    <w:pPr>
      <w:spacing w:after="120" w:line="480" w:lineRule="auto"/>
      <w:ind w:firstLine="709"/>
      <w:jc w:val="both"/>
    </w:pPr>
    <w:rPr>
      <w:rFonts w:ascii="Times New Roman" w:hAnsi="Times New Roman"/>
      <w:sz w:val="24"/>
      <w:szCs w:val="24"/>
    </w:rPr>
  </w:style>
  <w:style w:type="paragraph" w:styleId="Heading1">
    <w:name w:val="heading 1"/>
    <w:basedOn w:val="Normal"/>
    <w:next w:val="Normal"/>
    <w:link w:val="Heading1Char"/>
    <w:uiPriority w:val="99"/>
    <w:qFormat/>
    <w:rsid w:val="00D279F0"/>
    <w:pPr>
      <w:keepNext/>
      <w:numPr>
        <w:numId w:val="23"/>
      </w:numPr>
      <w:suppressAutoHyphens/>
      <w:spacing w:before="480" w:after="0"/>
      <w:outlineLvl w:val="0"/>
    </w:pPr>
    <w:rPr>
      <w:rFonts w:eastAsia="SimSun" w:cs="Arial"/>
      <w:b/>
      <w:bCs/>
      <w:smallCaps/>
      <w:szCs w:val="32"/>
      <w:u w:val="single"/>
      <w:lang w:eastAsia="ar-SA"/>
    </w:rPr>
  </w:style>
  <w:style w:type="paragraph" w:styleId="Heading2">
    <w:name w:val="heading 2"/>
    <w:basedOn w:val="Normal"/>
    <w:next w:val="Normal"/>
    <w:link w:val="Heading2Char"/>
    <w:uiPriority w:val="99"/>
    <w:qFormat/>
    <w:rsid w:val="00D279F0"/>
    <w:pPr>
      <w:keepNext/>
      <w:numPr>
        <w:ilvl w:val="1"/>
        <w:numId w:val="23"/>
      </w:numPr>
      <w:suppressAutoHyphens/>
      <w:spacing w:before="360" w:after="0"/>
      <w:outlineLvl w:val="1"/>
    </w:pPr>
    <w:rPr>
      <w:rFonts w:eastAsia="SimSun" w:cs="Arial"/>
      <w:b/>
      <w:bCs/>
      <w:iCs/>
      <w:szCs w:val="28"/>
      <w:u w:val="single"/>
      <w:lang w:eastAsia="ar-SA"/>
    </w:rPr>
  </w:style>
  <w:style w:type="paragraph" w:styleId="Heading3">
    <w:name w:val="heading 3"/>
    <w:basedOn w:val="Normal"/>
    <w:next w:val="Normal"/>
    <w:link w:val="Heading3Char"/>
    <w:uiPriority w:val="99"/>
    <w:qFormat/>
    <w:locked/>
    <w:rsid w:val="00D279F0"/>
    <w:pPr>
      <w:keepNext/>
      <w:numPr>
        <w:ilvl w:val="2"/>
        <w:numId w:val="23"/>
      </w:numPr>
      <w:suppressAutoHyphens/>
      <w:spacing w:before="240" w:after="60"/>
      <w:outlineLvl w:val="2"/>
    </w:pPr>
    <w:rPr>
      <w:rFonts w:eastAsia="SimSun" w:cs="Arial"/>
      <w:b/>
      <w:bCs/>
      <w:szCs w:val="26"/>
      <w:lang w:eastAsia="ar-SA"/>
    </w:rPr>
  </w:style>
  <w:style w:type="paragraph" w:styleId="Heading4">
    <w:name w:val="heading 4"/>
    <w:basedOn w:val="Normal"/>
    <w:next w:val="Normal"/>
    <w:link w:val="Heading4Char"/>
    <w:uiPriority w:val="99"/>
    <w:qFormat/>
    <w:rsid w:val="00D279F0"/>
    <w:pPr>
      <w:keepNext/>
      <w:numPr>
        <w:ilvl w:val="3"/>
        <w:numId w:val="23"/>
      </w:numPr>
      <w:spacing w:before="240" w:after="60"/>
      <w:outlineLvl w:val="3"/>
    </w:pPr>
    <w:rPr>
      <w:b/>
      <w:bCs/>
      <w:i/>
      <w:szCs w:val="28"/>
    </w:rPr>
  </w:style>
  <w:style w:type="paragraph" w:styleId="Heading5">
    <w:name w:val="heading 5"/>
    <w:basedOn w:val="Normal"/>
    <w:next w:val="Normal"/>
    <w:link w:val="Heading5Char"/>
    <w:uiPriority w:val="99"/>
    <w:qFormat/>
    <w:rsid w:val="00D279F0"/>
    <w:pPr>
      <w:keepNext/>
      <w:numPr>
        <w:ilvl w:val="4"/>
        <w:numId w:val="23"/>
      </w:numPr>
      <w:spacing w:before="240" w:after="60"/>
      <w:outlineLvl w:val="4"/>
    </w:pPr>
    <w:rPr>
      <w:bCs/>
      <w:i/>
      <w:iCs/>
      <w:sz w:val="26"/>
      <w:szCs w:val="26"/>
    </w:rPr>
  </w:style>
  <w:style w:type="paragraph" w:styleId="Heading6">
    <w:name w:val="heading 6"/>
    <w:basedOn w:val="Normal"/>
    <w:next w:val="Normal"/>
    <w:link w:val="Heading6Char"/>
    <w:uiPriority w:val="99"/>
    <w:qFormat/>
    <w:locked/>
    <w:rsid w:val="00D279F0"/>
    <w:pPr>
      <w:numPr>
        <w:ilvl w:val="5"/>
        <w:numId w:val="23"/>
      </w:numPr>
      <w:spacing w:before="240" w:after="60"/>
      <w:outlineLvl w:val="5"/>
    </w:pPr>
    <w:rPr>
      <w:b/>
      <w:bCs/>
      <w:sz w:val="22"/>
      <w:szCs w:val="22"/>
    </w:rPr>
  </w:style>
  <w:style w:type="paragraph" w:styleId="Heading7">
    <w:name w:val="heading 7"/>
    <w:basedOn w:val="Normal"/>
    <w:next w:val="Normal"/>
    <w:link w:val="Heading7Char"/>
    <w:uiPriority w:val="99"/>
    <w:qFormat/>
    <w:locked/>
    <w:rsid w:val="00D279F0"/>
    <w:pPr>
      <w:numPr>
        <w:ilvl w:val="6"/>
        <w:numId w:val="23"/>
      </w:numPr>
      <w:spacing w:before="240" w:after="60"/>
      <w:outlineLvl w:val="6"/>
    </w:pPr>
  </w:style>
  <w:style w:type="paragraph" w:styleId="Heading8">
    <w:name w:val="heading 8"/>
    <w:basedOn w:val="Normal"/>
    <w:next w:val="Normal"/>
    <w:link w:val="Heading8Char"/>
    <w:uiPriority w:val="99"/>
    <w:qFormat/>
    <w:locked/>
    <w:rsid w:val="00D279F0"/>
    <w:pPr>
      <w:numPr>
        <w:ilvl w:val="7"/>
        <w:numId w:val="23"/>
      </w:numPr>
      <w:spacing w:before="240" w:after="60"/>
      <w:outlineLvl w:val="7"/>
    </w:pPr>
    <w:rPr>
      <w:i/>
      <w:iCs/>
    </w:rPr>
  </w:style>
  <w:style w:type="paragraph" w:styleId="Heading9">
    <w:name w:val="heading 9"/>
    <w:basedOn w:val="Normal"/>
    <w:next w:val="Normal"/>
    <w:link w:val="Heading9Char"/>
    <w:uiPriority w:val="99"/>
    <w:qFormat/>
    <w:locked/>
    <w:rsid w:val="00D279F0"/>
    <w:pPr>
      <w:numPr>
        <w:ilvl w:val="8"/>
        <w:numId w:val="23"/>
      </w:numPr>
      <w:spacing w:before="240" w:after="60"/>
      <w:outlineLvl w:val="8"/>
    </w:pPr>
    <w:rPr>
      <w:rFonts w:ascii="Arial" w:hAnsi="Arial" w:cs="Arial"/>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B574A"/>
    <w:rPr>
      <w:rFonts w:eastAsia="SimSun" w:cs="Arial"/>
      <w:b/>
      <w:bCs/>
      <w:smallCaps/>
      <w:sz w:val="32"/>
      <w:szCs w:val="32"/>
      <w:u w:val="single"/>
      <w:lang w:val="fr-FR" w:eastAsia="ar-SA" w:bidi="ar-SA"/>
    </w:rPr>
  </w:style>
  <w:style w:type="character" w:customStyle="1" w:styleId="Heading2Char">
    <w:name w:val="Heading 2 Char"/>
    <w:basedOn w:val="DefaultParagraphFont"/>
    <w:link w:val="Heading2"/>
    <w:uiPriority w:val="99"/>
    <w:locked/>
    <w:rsid w:val="002B574A"/>
    <w:rPr>
      <w:rFonts w:eastAsia="SimSun" w:cs="Arial"/>
      <w:b/>
      <w:bCs/>
      <w:iCs/>
      <w:sz w:val="28"/>
      <w:szCs w:val="28"/>
      <w:u w:val="single"/>
      <w:lang w:val="fr-FR" w:eastAsia="ar-SA" w:bidi="ar-SA"/>
    </w:rPr>
  </w:style>
  <w:style w:type="character" w:customStyle="1" w:styleId="Heading3Char">
    <w:name w:val="Heading 3 Char"/>
    <w:basedOn w:val="DefaultParagraphFont"/>
    <w:link w:val="Heading3"/>
    <w:uiPriority w:val="99"/>
    <w:semiHidden/>
    <w:locked/>
    <w:rsid w:val="00692195"/>
    <w:rPr>
      <w:rFonts w:ascii="Cambria" w:hAnsi="Cambria" w:cs="Times New Roman"/>
      <w:b/>
      <w:bCs/>
      <w:sz w:val="26"/>
      <w:szCs w:val="26"/>
    </w:rPr>
  </w:style>
  <w:style w:type="character" w:customStyle="1" w:styleId="Heading4Char">
    <w:name w:val="Heading 4 Char"/>
    <w:basedOn w:val="DefaultParagraphFont"/>
    <w:link w:val="Heading4"/>
    <w:uiPriority w:val="99"/>
    <w:locked/>
    <w:rsid w:val="002B574A"/>
    <w:rPr>
      <w:rFonts w:cs="Times New Roman"/>
      <w:b/>
      <w:bCs/>
      <w:i/>
      <w:sz w:val="28"/>
      <w:szCs w:val="28"/>
      <w:lang w:val="fr-FR" w:eastAsia="fr-FR" w:bidi="ar-SA"/>
    </w:rPr>
  </w:style>
  <w:style w:type="character" w:customStyle="1" w:styleId="Heading5Char">
    <w:name w:val="Heading 5 Char"/>
    <w:basedOn w:val="DefaultParagraphFont"/>
    <w:link w:val="Heading5"/>
    <w:uiPriority w:val="99"/>
    <w:locked/>
    <w:rsid w:val="002B574A"/>
    <w:rPr>
      <w:rFonts w:cs="Times New Roman"/>
      <w:bCs/>
      <w:i/>
      <w:iCs/>
      <w:sz w:val="26"/>
      <w:szCs w:val="26"/>
      <w:lang w:val="fr-FR" w:eastAsia="fr-FR" w:bidi="ar-SA"/>
    </w:rPr>
  </w:style>
  <w:style w:type="character" w:customStyle="1" w:styleId="Heading6Char">
    <w:name w:val="Heading 6 Char"/>
    <w:basedOn w:val="DefaultParagraphFont"/>
    <w:link w:val="Heading6"/>
    <w:uiPriority w:val="99"/>
    <w:semiHidden/>
    <w:locked/>
    <w:rsid w:val="00692195"/>
    <w:rPr>
      <w:rFonts w:ascii="Calibri" w:hAnsi="Calibri" w:cs="Times New Roman"/>
      <w:b/>
      <w:bCs/>
    </w:rPr>
  </w:style>
  <w:style w:type="character" w:customStyle="1" w:styleId="Heading7Char">
    <w:name w:val="Heading 7 Char"/>
    <w:basedOn w:val="DefaultParagraphFont"/>
    <w:link w:val="Heading7"/>
    <w:uiPriority w:val="99"/>
    <w:semiHidden/>
    <w:locked/>
    <w:rsid w:val="00692195"/>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692195"/>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692195"/>
    <w:rPr>
      <w:rFonts w:ascii="Cambria" w:hAnsi="Cambria" w:cs="Times New Roman"/>
    </w:rPr>
  </w:style>
  <w:style w:type="paragraph" w:customStyle="1" w:styleId="LaVieille">
    <w:name w:val="La Vieille"/>
    <w:basedOn w:val="Normal"/>
    <w:uiPriority w:val="99"/>
    <w:rsid w:val="003F7DA9"/>
    <w:pPr>
      <w:suppressAutoHyphens/>
      <w:spacing w:line="240" w:lineRule="auto"/>
    </w:pPr>
    <w:rPr>
      <w:rFonts w:ascii="AR CHRISTY" w:eastAsia="Times New Roman" w:hAnsi="AR CHRISTY" w:cs="Arial"/>
      <w:i/>
      <w:sz w:val="20"/>
    </w:rPr>
  </w:style>
  <w:style w:type="paragraph" w:customStyle="1" w:styleId="Visas">
    <w:name w:val="Visas"/>
    <w:basedOn w:val="Normal"/>
    <w:uiPriority w:val="99"/>
    <w:rsid w:val="0091510D"/>
    <w:pPr>
      <w:spacing w:line="240" w:lineRule="auto"/>
    </w:pPr>
    <w:rPr>
      <w:rFonts w:eastAsia="Times New Roman"/>
    </w:rPr>
  </w:style>
  <w:style w:type="paragraph" w:customStyle="1" w:styleId="Style1">
    <w:name w:val="Style1"/>
    <w:basedOn w:val="Normal"/>
    <w:uiPriority w:val="99"/>
    <w:rsid w:val="000719D2"/>
  </w:style>
  <w:style w:type="paragraph" w:customStyle="1" w:styleId="StyleInterligneDouble">
    <w:name w:val="Style Interligne : Double"/>
    <w:basedOn w:val="Normal"/>
    <w:uiPriority w:val="99"/>
    <w:rsid w:val="000719D2"/>
    <w:rPr>
      <w:szCs w:val="20"/>
    </w:rPr>
  </w:style>
  <w:style w:type="character" w:customStyle="1" w:styleId="CommentTextChar1">
    <w:name w:val="Comment Text Char1"/>
    <w:uiPriority w:val="99"/>
    <w:locked/>
    <w:rsid w:val="00D279F0"/>
    <w:rPr>
      <w:lang w:val="fr-FR" w:eastAsia="fr-FR"/>
    </w:rPr>
  </w:style>
  <w:style w:type="paragraph" w:styleId="CommentText">
    <w:name w:val="annotation text"/>
    <w:basedOn w:val="Normal"/>
    <w:link w:val="CommentTextChar"/>
    <w:uiPriority w:val="99"/>
    <w:rsid w:val="00D279F0"/>
    <w:rPr>
      <w:rFonts w:ascii="Calibri" w:hAnsi="Calibri"/>
      <w:sz w:val="20"/>
      <w:szCs w:val="20"/>
    </w:rPr>
  </w:style>
  <w:style w:type="character" w:customStyle="1" w:styleId="CommentTextChar">
    <w:name w:val="Comment Text Char"/>
    <w:basedOn w:val="DefaultParagraphFont"/>
    <w:link w:val="CommentText"/>
    <w:uiPriority w:val="99"/>
    <w:semiHidden/>
    <w:locked/>
    <w:rsid w:val="00692195"/>
    <w:rPr>
      <w:rFonts w:ascii="Times New Roman" w:hAnsi="Times New Roman" w:cs="Times New Roman"/>
      <w:sz w:val="20"/>
      <w:szCs w:val="20"/>
    </w:rPr>
  </w:style>
  <w:style w:type="character" w:customStyle="1" w:styleId="CommentSubjectChar1">
    <w:name w:val="Comment Subject Char1"/>
    <w:uiPriority w:val="99"/>
    <w:locked/>
    <w:rsid w:val="00D279F0"/>
    <w:rPr>
      <w:b/>
      <w:lang w:val="fr-FR" w:eastAsia="fr-FR"/>
    </w:rPr>
  </w:style>
  <w:style w:type="paragraph" w:styleId="CommentSubject">
    <w:name w:val="annotation subject"/>
    <w:basedOn w:val="CommentText"/>
    <w:next w:val="CommentText"/>
    <w:link w:val="CommentSubjectChar"/>
    <w:uiPriority w:val="99"/>
    <w:rsid w:val="00D279F0"/>
    <w:rPr>
      <w:b/>
      <w:bCs/>
    </w:rPr>
  </w:style>
  <w:style w:type="character" w:customStyle="1" w:styleId="CommentSubjectChar">
    <w:name w:val="Comment Subject Char"/>
    <w:basedOn w:val="CommentTextChar1"/>
    <w:link w:val="CommentSubject"/>
    <w:uiPriority w:val="99"/>
    <w:semiHidden/>
    <w:locked/>
    <w:rsid w:val="00692195"/>
    <w:rPr>
      <w:rFonts w:ascii="Times New Roman" w:hAnsi="Times New Roman" w:cs="Times New Roman"/>
      <w:b/>
      <w:bCs/>
      <w:sz w:val="20"/>
      <w:szCs w:val="20"/>
      <w:lang w:bidi="ar-SA"/>
    </w:rPr>
  </w:style>
  <w:style w:type="character" w:customStyle="1" w:styleId="FootnoteTextChar1">
    <w:name w:val="Footnote Text Char1"/>
    <w:uiPriority w:val="99"/>
    <w:locked/>
    <w:rsid w:val="00D279F0"/>
    <w:rPr>
      <w:lang w:val="fr-FR" w:eastAsia="fr-FR"/>
    </w:rPr>
  </w:style>
  <w:style w:type="paragraph" w:styleId="FootnoteText">
    <w:name w:val="footnote text"/>
    <w:basedOn w:val="Normal"/>
    <w:link w:val="FootnoteTextChar"/>
    <w:uiPriority w:val="99"/>
    <w:rsid w:val="00D279F0"/>
    <w:rPr>
      <w:rFonts w:ascii="Calibri" w:hAnsi="Calibri"/>
      <w:sz w:val="20"/>
      <w:szCs w:val="20"/>
    </w:rPr>
  </w:style>
  <w:style w:type="character" w:customStyle="1" w:styleId="FootnoteTextChar">
    <w:name w:val="Footnote Text Char"/>
    <w:basedOn w:val="DefaultParagraphFont"/>
    <w:link w:val="FootnoteText"/>
    <w:uiPriority w:val="99"/>
    <w:semiHidden/>
    <w:locked/>
    <w:rsid w:val="00692195"/>
    <w:rPr>
      <w:rFonts w:ascii="Times New Roman" w:hAnsi="Times New Roman" w:cs="Times New Roman"/>
      <w:sz w:val="20"/>
      <w:szCs w:val="20"/>
    </w:rPr>
  </w:style>
  <w:style w:type="character" w:styleId="FootnoteReference">
    <w:name w:val="footnote reference"/>
    <w:basedOn w:val="DefaultParagraphFont"/>
    <w:uiPriority w:val="99"/>
    <w:rsid w:val="00D279F0"/>
    <w:rPr>
      <w:rFonts w:cs="Times New Roman"/>
      <w:vertAlign w:val="superscript"/>
    </w:rPr>
  </w:style>
  <w:style w:type="paragraph" w:customStyle="1" w:styleId="Dispense">
    <w:name w:val="Dispense"/>
    <w:basedOn w:val="Normal"/>
    <w:uiPriority w:val="99"/>
    <w:rsid w:val="00D279F0"/>
    <w:rPr>
      <w:color w:val="333333"/>
      <w:lang w:eastAsia="ar-SA"/>
    </w:rPr>
  </w:style>
  <w:style w:type="paragraph" w:styleId="Header">
    <w:name w:val="header"/>
    <w:basedOn w:val="Normal"/>
    <w:link w:val="HeaderChar"/>
    <w:uiPriority w:val="99"/>
    <w:rsid w:val="00D279F0"/>
    <w:pPr>
      <w:tabs>
        <w:tab w:val="center" w:pos="4536"/>
        <w:tab w:val="right" w:pos="9072"/>
      </w:tabs>
    </w:pPr>
  </w:style>
  <w:style w:type="character" w:customStyle="1" w:styleId="HeaderChar">
    <w:name w:val="Header Char"/>
    <w:basedOn w:val="DefaultParagraphFont"/>
    <w:link w:val="Header"/>
    <w:uiPriority w:val="99"/>
    <w:semiHidden/>
    <w:locked/>
    <w:rsid w:val="00692195"/>
    <w:rPr>
      <w:rFonts w:ascii="Times New Roman" w:hAnsi="Times New Roman" w:cs="Times New Roman"/>
      <w:sz w:val="24"/>
      <w:szCs w:val="24"/>
    </w:rPr>
  </w:style>
  <w:style w:type="paragraph" w:styleId="DocumentMap">
    <w:name w:val="Document Map"/>
    <w:basedOn w:val="Normal"/>
    <w:link w:val="DocumentMapChar"/>
    <w:uiPriority w:val="99"/>
    <w:semiHidden/>
    <w:rsid w:val="00D279F0"/>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692195"/>
    <w:rPr>
      <w:rFonts w:ascii="Times New Roman" w:hAnsi="Times New Roman" w:cs="Times New Roman"/>
      <w:sz w:val="2"/>
    </w:rPr>
  </w:style>
  <w:style w:type="character" w:styleId="Hyperlink">
    <w:name w:val="Hyperlink"/>
    <w:basedOn w:val="DefaultParagraphFont"/>
    <w:uiPriority w:val="99"/>
    <w:rsid w:val="00D279F0"/>
    <w:rPr>
      <w:rFonts w:cs="Times New Roman"/>
      <w:color w:val="0000FF"/>
      <w:u w:val="single"/>
    </w:rPr>
  </w:style>
  <w:style w:type="character" w:styleId="FollowedHyperlink">
    <w:name w:val="FollowedHyperlink"/>
    <w:basedOn w:val="DefaultParagraphFont"/>
    <w:uiPriority w:val="99"/>
    <w:rsid w:val="00D279F0"/>
    <w:rPr>
      <w:rFonts w:cs="Times New Roman"/>
      <w:color w:val="800080"/>
      <w:u w:val="single"/>
    </w:rPr>
  </w:style>
  <w:style w:type="character" w:styleId="CommentReference">
    <w:name w:val="annotation reference"/>
    <w:basedOn w:val="DefaultParagraphFont"/>
    <w:uiPriority w:val="99"/>
    <w:rsid w:val="00D279F0"/>
    <w:rPr>
      <w:rFonts w:cs="Times New Roman"/>
      <w:sz w:val="16"/>
      <w:szCs w:val="16"/>
    </w:rPr>
  </w:style>
  <w:style w:type="character" w:styleId="PageNumber">
    <w:name w:val="page number"/>
    <w:basedOn w:val="DefaultParagraphFont"/>
    <w:uiPriority w:val="99"/>
    <w:rsid w:val="00D279F0"/>
    <w:rPr>
      <w:rFonts w:cs="Times New Roman"/>
    </w:rPr>
  </w:style>
  <w:style w:type="paragraph" w:styleId="Footer">
    <w:name w:val="footer"/>
    <w:basedOn w:val="Normal"/>
    <w:link w:val="FooterChar"/>
    <w:uiPriority w:val="99"/>
    <w:rsid w:val="00D279F0"/>
    <w:pPr>
      <w:tabs>
        <w:tab w:val="center" w:pos="4703"/>
        <w:tab w:val="right" w:pos="9406"/>
      </w:tabs>
    </w:pPr>
  </w:style>
  <w:style w:type="character" w:customStyle="1" w:styleId="FooterChar">
    <w:name w:val="Footer Char"/>
    <w:basedOn w:val="DefaultParagraphFont"/>
    <w:link w:val="Footer"/>
    <w:uiPriority w:val="99"/>
    <w:semiHidden/>
    <w:locked/>
    <w:rsid w:val="00692195"/>
    <w:rPr>
      <w:rFonts w:ascii="Times New Roman" w:hAnsi="Times New Roman" w:cs="Times New Roman"/>
      <w:sz w:val="24"/>
      <w:szCs w:val="24"/>
    </w:rPr>
  </w:style>
  <w:style w:type="character" w:customStyle="1" w:styleId="surligne">
    <w:name w:val="surligne"/>
    <w:basedOn w:val="DefaultParagraphFont"/>
    <w:uiPriority w:val="99"/>
    <w:rsid w:val="00D279F0"/>
    <w:rPr>
      <w:rFonts w:cs="Times New Roman"/>
    </w:rPr>
  </w:style>
  <w:style w:type="paragraph" w:styleId="BalloonText">
    <w:name w:val="Balloon Text"/>
    <w:basedOn w:val="Normal"/>
    <w:link w:val="BalloonTextChar"/>
    <w:uiPriority w:val="99"/>
    <w:semiHidden/>
    <w:rsid w:val="00D279F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92195"/>
    <w:rPr>
      <w:rFonts w:ascii="Times New Roman" w:hAnsi="Times New Roman" w:cs="Times New Roman"/>
      <w:sz w:val="2"/>
    </w:rPr>
  </w:style>
  <w:style w:type="paragraph" w:styleId="TOC1">
    <w:name w:val="toc 1"/>
    <w:basedOn w:val="Normal"/>
    <w:next w:val="Normal"/>
    <w:autoRedefine/>
    <w:uiPriority w:val="99"/>
    <w:semiHidden/>
    <w:locked/>
    <w:rsid w:val="00D279F0"/>
    <w:pPr>
      <w:spacing w:before="360" w:after="0"/>
      <w:jc w:val="left"/>
    </w:pPr>
    <w:rPr>
      <w:rFonts w:ascii="Arial" w:hAnsi="Arial" w:cs="Arial"/>
      <w:b/>
      <w:bCs/>
      <w:caps/>
    </w:rPr>
  </w:style>
  <w:style w:type="paragraph" w:styleId="TOC2">
    <w:name w:val="toc 2"/>
    <w:basedOn w:val="Normal"/>
    <w:next w:val="Normal"/>
    <w:autoRedefine/>
    <w:uiPriority w:val="99"/>
    <w:semiHidden/>
    <w:locked/>
    <w:rsid w:val="00D279F0"/>
    <w:pPr>
      <w:spacing w:before="240" w:after="0"/>
      <w:jc w:val="left"/>
    </w:pPr>
    <w:rPr>
      <w:b/>
      <w:bCs/>
      <w:sz w:val="20"/>
      <w:szCs w:val="20"/>
    </w:rPr>
  </w:style>
  <w:style w:type="paragraph" w:styleId="TOC3">
    <w:name w:val="toc 3"/>
    <w:basedOn w:val="Normal"/>
    <w:next w:val="Normal"/>
    <w:autoRedefine/>
    <w:uiPriority w:val="99"/>
    <w:semiHidden/>
    <w:locked/>
    <w:rsid w:val="00D279F0"/>
    <w:pPr>
      <w:spacing w:after="0"/>
      <w:ind w:left="240"/>
      <w:jc w:val="left"/>
    </w:pPr>
    <w:rPr>
      <w:sz w:val="20"/>
      <w:szCs w:val="20"/>
    </w:rPr>
  </w:style>
  <w:style w:type="paragraph" w:styleId="TOC4">
    <w:name w:val="toc 4"/>
    <w:basedOn w:val="Normal"/>
    <w:next w:val="Normal"/>
    <w:autoRedefine/>
    <w:uiPriority w:val="99"/>
    <w:semiHidden/>
    <w:locked/>
    <w:rsid w:val="00D279F0"/>
    <w:pPr>
      <w:spacing w:after="0"/>
      <w:ind w:left="480"/>
      <w:jc w:val="left"/>
    </w:pPr>
    <w:rPr>
      <w:sz w:val="20"/>
      <w:szCs w:val="20"/>
    </w:rPr>
  </w:style>
  <w:style w:type="paragraph" w:styleId="TOC5">
    <w:name w:val="toc 5"/>
    <w:basedOn w:val="Normal"/>
    <w:next w:val="Normal"/>
    <w:autoRedefine/>
    <w:uiPriority w:val="99"/>
    <w:semiHidden/>
    <w:locked/>
    <w:rsid w:val="00D279F0"/>
    <w:pPr>
      <w:spacing w:after="0"/>
      <w:ind w:left="720"/>
      <w:jc w:val="left"/>
    </w:pPr>
    <w:rPr>
      <w:sz w:val="20"/>
      <w:szCs w:val="20"/>
    </w:rPr>
  </w:style>
  <w:style w:type="paragraph" w:styleId="TOC6">
    <w:name w:val="toc 6"/>
    <w:basedOn w:val="Normal"/>
    <w:next w:val="Normal"/>
    <w:autoRedefine/>
    <w:uiPriority w:val="99"/>
    <w:semiHidden/>
    <w:locked/>
    <w:rsid w:val="00D279F0"/>
    <w:pPr>
      <w:spacing w:after="0"/>
      <w:ind w:left="960"/>
      <w:jc w:val="left"/>
    </w:pPr>
    <w:rPr>
      <w:sz w:val="20"/>
      <w:szCs w:val="20"/>
    </w:rPr>
  </w:style>
  <w:style w:type="paragraph" w:styleId="TOC7">
    <w:name w:val="toc 7"/>
    <w:basedOn w:val="Normal"/>
    <w:next w:val="Normal"/>
    <w:autoRedefine/>
    <w:uiPriority w:val="99"/>
    <w:semiHidden/>
    <w:locked/>
    <w:rsid w:val="00D279F0"/>
    <w:pPr>
      <w:spacing w:after="0"/>
      <w:ind w:left="1200"/>
      <w:jc w:val="left"/>
    </w:pPr>
    <w:rPr>
      <w:sz w:val="20"/>
      <w:szCs w:val="20"/>
    </w:rPr>
  </w:style>
  <w:style w:type="paragraph" w:styleId="TOC8">
    <w:name w:val="toc 8"/>
    <w:basedOn w:val="Normal"/>
    <w:next w:val="Normal"/>
    <w:autoRedefine/>
    <w:uiPriority w:val="99"/>
    <w:semiHidden/>
    <w:locked/>
    <w:rsid w:val="00D279F0"/>
    <w:pPr>
      <w:spacing w:after="0"/>
      <w:ind w:left="1440"/>
      <w:jc w:val="left"/>
    </w:pPr>
    <w:rPr>
      <w:sz w:val="20"/>
      <w:szCs w:val="20"/>
    </w:rPr>
  </w:style>
  <w:style w:type="paragraph" w:styleId="TOC9">
    <w:name w:val="toc 9"/>
    <w:basedOn w:val="Normal"/>
    <w:next w:val="Normal"/>
    <w:autoRedefine/>
    <w:uiPriority w:val="99"/>
    <w:semiHidden/>
    <w:locked/>
    <w:rsid w:val="00D279F0"/>
    <w:pPr>
      <w:spacing w:after="0"/>
      <w:ind w:left="1680"/>
      <w:jc w:val="left"/>
    </w:pPr>
    <w:rPr>
      <w:sz w:val="20"/>
      <w:szCs w:val="20"/>
    </w:rPr>
  </w:style>
  <w:style w:type="paragraph" w:styleId="ListBullet">
    <w:name w:val="List Bullet"/>
    <w:basedOn w:val="Normal"/>
    <w:uiPriority w:val="99"/>
    <w:locked/>
    <w:rsid w:val="00AC33B4"/>
    <w:pPr>
      <w:numPr>
        <w:numId w:val="11"/>
      </w:numPr>
      <w:tabs>
        <w:tab w:val="clear" w:pos="1209"/>
        <w:tab w:val="num" w:pos="360"/>
      </w:tabs>
      <w:ind w:left="360"/>
    </w:pPr>
  </w:style>
</w:styles>
</file>

<file path=word/webSettings.xml><?xml version="1.0" encoding="utf-8"?>
<w:webSettings xmlns:r="http://schemas.openxmlformats.org/officeDocument/2006/relationships" xmlns:w="http://schemas.openxmlformats.org/wordprocessingml/2006/main">
  <w:divs>
    <w:div w:id="2009361866">
      <w:marLeft w:val="0"/>
      <w:marRight w:val="0"/>
      <w:marTop w:val="0"/>
      <w:marBottom w:val="0"/>
      <w:divBdr>
        <w:top w:val="none" w:sz="0" w:space="0" w:color="auto"/>
        <w:left w:val="none" w:sz="0" w:space="0" w:color="auto"/>
        <w:bottom w:val="none" w:sz="0" w:space="0" w:color="auto"/>
        <w:right w:val="none" w:sz="0" w:space="0" w:color="auto"/>
      </w:divBdr>
      <w:divsChild>
        <w:div w:id="2009361862">
          <w:marLeft w:val="0"/>
          <w:marRight w:val="0"/>
          <w:marTop w:val="0"/>
          <w:marBottom w:val="600"/>
          <w:divBdr>
            <w:top w:val="none" w:sz="0" w:space="0" w:color="auto"/>
            <w:left w:val="none" w:sz="0" w:space="0" w:color="auto"/>
            <w:bottom w:val="none" w:sz="0" w:space="0" w:color="auto"/>
            <w:right w:val="none" w:sz="0" w:space="0" w:color="auto"/>
          </w:divBdr>
        </w:div>
        <w:div w:id="2009361869">
          <w:marLeft w:val="0"/>
          <w:marRight w:val="0"/>
          <w:marTop w:val="0"/>
          <w:marBottom w:val="0"/>
          <w:divBdr>
            <w:top w:val="none" w:sz="0" w:space="0" w:color="auto"/>
            <w:left w:val="none" w:sz="0" w:space="0" w:color="auto"/>
            <w:bottom w:val="none" w:sz="0" w:space="0" w:color="auto"/>
            <w:right w:val="none" w:sz="0" w:space="0" w:color="auto"/>
          </w:divBdr>
          <w:divsChild>
            <w:div w:id="2009361863">
              <w:marLeft w:val="0"/>
              <w:marRight w:val="0"/>
              <w:marTop w:val="0"/>
              <w:marBottom w:val="0"/>
              <w:divBdr>
                <w:top w:val="single" w:sz="48" w:space="6" w:color="E5E5E5"/>
                <w:left w:val="none" w:sz="0" w:space="0" w:color="auto"/>
                <w:bottom w:val="none" w:sz="0" w:space="0" w:color="auto"/>
                <w:right w:val="none" w:sz="0" w:space="0" w:color="auto"/>
              </w:divBdr>
            </w:div>
            <w:div w:id="2009361867">
              <w:marLeft w:val="0"/>
              <w:marRight w:val="0"/>
              <w:marTop w:val="0"/>
              <w:marBottom w:val="0"/>
              <w:divBdr>
                <w:top w:val="none" w:sz="0" w:space="0" w:color="auto"/>
                <w:left w:val="none" w:sz="0" w:space="0" w:color="auto"/>
                <w:bottom w:val="none" w:sz="0" w:space="0" w:color="auto"/>
                <w:right w:val="none" w:sz="0" w:space="0" w:color="auto"/>
              </w:divBdr>
              <w:divsChild>
                <w:div w:id="2009361861">
                  <w:marLeft w:val="0"/>
                  <w:marRight w:val="0"/>
                  <w:marTop w:val="0"/>
                  <w:marBottom w:val="300"/>
                  <w:divBdr>
                    <w:top w:val="none" w:sz="0" w:space="0" w:color="auto"/>
                    <w:left w:val="none" w:sz="0" w:space="0" w:color="auto"/>
                    <w:bottom w:val="none" w:sz="0" w:space="0" w:color="auto"/>
                    <w:right w:val="none" w:sz="0" w:space="0" w:color="auto"/>
                  </w:divBdr>
                </w:div>
                <w:div w:id="2009361871">
                  <w:marLeft w:val="0"/>
                  <w:marRight w:val="0"/>
                  <w:marTop w:val="0"/>
                  <w:marBottom w:val="0"/>
                  <w:divBdr>
                    <w:top w:val="none" w:sz="0" w:space="0" w:color="auto"/>
                    <w:left w:val="none" w:sz="0" w:space="0" w:color="auto"/>
                    <w:bottom w:val="none" w:sz="0" w:space="0" w:color="auto"/>
                    <w:right w:val="none" w:sz="0" w:space="0" w:color="auto"/>
                  </w:divBdr>
                </w:div>
                <w:div w:id="200936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361868">
      <w:marLeft w:val="0"/>
      <w:marRight w:val="0"/>
      <w:marTop w:val="0"/>
      <w:marBottom w:val="0"/>
      <w:divBdr>
        <w:top w:val="none" w:sz="0" w:space="0" w:color="auto"/>
        <w:left w:val="none" w:sz="0" w:space="0" w:color="auto"/>
        <w:bottom w:val="none" w:sz="0" w:space="0" w:color="auto"/>
        <w:right w:val="none" w:sz="0" w:space="0" w:color="auto"/>
      </w:divBdr>
    </w:div>
    <w:div w:id="2009361872">
      <w:marLeft w:val="0"/>
      <w:marRight w:val="0"/>
      <w:marTop w:val="0"/>
      <w:marBottom w:val="0"/>
      <w:divBdr>
        <w:top w:val="none" w:sz="0" w:space="0" w:color="auto"/>
        <w:left w:val="none" w:sz="0" w:space="0" w:color="auto"/>
        <w:bottom w:val="none" w:sz="0" w:space="0" w:color="auto"/>
        <w:right w:val="none" w:sz="0" w:space="0" w:color="auto"/>
      </w:divBdr>
      <w:divsChild>
        <w:div w:id="2009361865">
          <w:marLeft w:val="0"/>
          <w:marRight w:val="0"/>
          <w:marTop w:val="0"/>
          <w:marBottom w:val="600"/>
          <w:divBdr>
            <w:top w:val="none" w:sz="0" w:space="0" w:color="auto"/>
            <w:left w:val="none" w:sz="0" w:space="0" w:color="auto"/>
            <w:bottom w:val="none" w:sz="0" w:space="0" w:color="auto"/>
            <w:right w:val="none" w:sz="0" w:space="0" w:color="auto"/>
          </w:divBdr>
        </w:div>
        <w:div w:id="2009361870">
          <w:marLeft w:val="0"/>
          <w:marRight w:val="0"/>
          <w:marTop w:val="0"/>
          <w:marBottom w:val="0"/>
          <w:divBdr>
            <w:top w:val="none" w:sz="0" w:space="0" w:color="auto"/>
            <w:left w:val="none" w:sz="0" w:space="0" w:color="auto"/>
            <w:bottom w:val="none" w:sz="0" w:space="0" w:color="auto"/>
            <w:right w:val="none" w:sz="0" w:space="0" w:color="auto"/>
          </w:divBdr>
          <w:divsChild>
            <w:div w:id="2009361864">
              <w:marLeft w:val="0"/>
              <w:marRight w:val="0"/>
              <w:marTop w:val="0"/>
              <w:marBottom w:val="0"/>
              <w:divBdr>
                <w:top w:val="none" w:sz="0" w:space="0" w:color="auto"/>
                <w:left w:val="none" w:sz="0" w:space="0" w:color="auto"/>
                <w:bottom w:val="none" w:sz="0" w:space="0" w:color="auto"/>
                <w:right w:val="none" w:sz="0" w:space="0" w:color="auto"/>
              </w:divBdr>
              <w:divsChild>
                <w:div w:id="2009361859">
                  <w:marLeft w:val="0"/>
                  <w:marRight w:val="0"/>
                  <w:marTop w:val="0"/>
                  <w:marBottom w:val="300"/>
                  <w:divBdr>
                    <w:top w:val="none" w:sz="0" w:space="0" w:color="auto"/>
                    <w:left w:val="none" w:sz="0" w:space="0" w:color="auto"/>
                    <w:bottom w:val="none" w:sz="0" w:space="0" w:color="auto"/>
                    <w:right w:val="none" w:sz="0" w:space="0" w:color="auto"/>
                  </w:divBdr>
                </w:div>
                <w:div w:id="2009361860">
                  <w:marLeft w:val="0"/>
                  <w:marRight w:val="0"/>
                  <w:marTop w:val="0"/>
                  <w:marBottom w:val="0"/>
                  <w:divBdr>
                    <w:top w:val="none" w:sz="0" w:space="0" w:color="auto"/>
                    <w:left w:val="none" w:sz="0" w:space="0" w:color="auto"/>
                    <w:bottom w:val="none" w:sz="0" w:space="0" w:color="auto"/>
                    <w:right w:val="none" w:sz="0" w:space="0" w:color="auto"/>
                  </w:divBdr>
                </w:div>
                <w:div w:id="2009361875">
                  <w:marLeft w:val="0"/>
                  <w:marRight w:val="0"/>
                  <w:marTop w:val="0"/>
                  <w:marBottom w:val="0"/>
                  <w:divBdr>
                    <w:top w:val="none" w:sz="0" w:space="0" w:color="auto"/>
                    <w:left w:val="none" w:sz="0" w:space="0" w:color="auto"/>
                    <w:bottom w:val="none" w:sz="0" w:space="0" w:color="auto"/>
                    <w:right w:val="none" w:sz="0" w:space="0" w:color="auto"/>
                  </w:divBdr>
                </w:div>
              </w:divsChild>
            </w:div>
            <w:div w:id="2009361874">
              <w:marLeft w:val="0"/>
              <w:marRight w:val="0"/>
              <w:marTop w:val="0"/>
              <w:marBottom w:val="0"/>
              <w:divBdr>
                <w:top w:val="single" w:sz="48" w:space="6" w:color="E5E5E5"/>
                <w:left w:val="none" w:sz="0" w:space="0" w:color="auto"/>
                <w:bottom w:val="none" w:sz="0" w:space="0" w:color="auto"/>
                <w:right w:val="none" w:sz="0" w:space="0" w:color="auto"/>
              </w:divBdr>
            </w:div>
          </w:divsChild>
        </w:div>
      </w:divsChild>
    </w:div>
    <w:div w:id="2009361878">
      <w:marLeft w:val="0"/>
      <w:marRight w:val="0"/>
      <w:marTop w:val="0"/>
      <w:marBottom w:val="0"/>
      <w:divBdr>
        <w:top w:val="none" w:sz="0" w:space="0" w:color="auto"/>
        <w:left w:val="none" w:sz="0" w:space="0" w:color="auto"/>
        <w:bottom w:val="none" w:sz="0" w:space="0" w:color="auto"/>
        <w:right w:val="none" w:sz="0" w:space="0" w:color="auto"/>
      </w:divBdr>
      <w:divsChild>
        <w:div w:id="2009361880">
          <w:marLeft w:val="0"/>
          <w:marRight w:val="0"/>
          <w:marTop w:val="100"/>
          <w:marBottom w:val="100"/>
          <w:divBdr>
            <w:top w:val="none" w:sz="0" w:space="0" w:color="auto"/>
            <w:left w:val="none" w:sz="0" w:space="0" w:color="auto"/>
            <w:bottom w:val="none" w:sz="0" w:space="0" w:color="auto"/>
            <w:right w:val="none" w:sz="0" w:space="0" w:color="auto"/>
          </w:divBdr>
          <w:divsChild>
            <w:div w:id="2009361887">
              <w:marLeft w:val="0"/>
              <w:marRight w:val="0"/>
              <w:marTop w:val="0"/>
              <w:marBottom w:val="230"/>
              <w:divBdr>
                <w:top w:val="none" w:sz="0" w:space="0" w:color="auto"/>
                <w:left w:val="none" w:sz="0" w:space="0" w:color="auto"/>
                <w:bottom w:val="none" w:sz="0" w:space="0" w:color="auto"/>
                <w:right w:val="none" w:sz="0" w:space="0" w:color="auto"/>
              </w:divBdr>
              <w:divsChild>
                <w:div w:id="2009361888">
                  <w:marLeft w:val="0"/>
                  <w:marRight w:val="0"/>
                  <w:marTop w:val="0"/>
                  <w:marBottom w:val="0"/>
                  <w:divBdr>
                    <w:top w:val="none" w:sz="0" w:space="0" w:color="auto"/>
                    <w:left w:val="none" w:sz="0" w:space="0" w:color="auto"/>
                    <w:bottom w:val="none" w:sz="0" w:space="0" w:color="auto"/>
                    <w:right w:val="none" w:sz="0" w:space="0" w:color="auto"/>
                  </w:divBdr>
                  <w:divsChild>
                    <w:div w:id="2009361881">
                      <w:marLeft w:val="0"/>
                      <w:marRight w:val="0"/>
                      <w:marTop w:val="0"/>
                      <w:marBottom w:val="0"/>
                      <w:divBdr>
                        <w:top w:val="none" w:sz="0" w:space="0" w:color="auto"/>
                        <w:left w:val="none" w:sz="0" w:space="0" w:color="auto"/>
                        <w:bottom w:val="none" w:sz="0" w:space="0" w:color="auto"/>
                        <w:right w:val="none" w:sz="0" w:space="0" w:color="auto"/>
                      </w:divBdr>
                      <w:divsChild>
                        <w:div w:id="2009361877">
                          <w:marLeft w:val="0"/>
                          <w:marRight w:val="0"/>
                          <w:marTop w:val="0"/>
                          <w:marBottom w:val="230"/>
                          <w:divBdr>
                            <w:top w:val="none" w:sz="0" w:space="0" w:color="auto"/>
                            <w:left w:val="none" w:sz="0" w:space="0" w:color="auto"/>
                            <w:bottom w:val="none" w:sz="0" w:space="0" w:color="auto"/>
                            <w:right w:val="none" w:sz="0" w:space="0" w:color="auto"/>
                          </w:divBdr>
                        </w:div>
                        <w:div w:id="2009361883">
                          <w:marLeft w:val="0"/>
                          <w:marRight w:val="691"/>
                          <w:marTop w:val="0"/>
                          <w:marBottom w:val="115"/>
                          <w:divBdr>
                            <w:top w:val="none" w:sz="0" w:space="0" w:color="auto"/>
                            <w:left w:val="none" w:sz="0" w:space="0" w:color="auto"/>
                            <w:bottom w:val="none" w:sz="0" w:space="0" w:color="auto"/>
                            <w:right w:val="none" w:sz="0" w:space="0" w:color="auto"/>
                          </w:divBdr>
                        </w:div>
                        <w:div w:id="200936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9361889">
      <w:marLeft w:val="0"/>
      <w:marRight w:val="0"/>
      <w:marTop w:val="0"/>
      <w:marBottom w:val="0"/>
      <w:divBdr>
        <w:top w:val="none" w:sz="0" w:space="0" w:color="auto"/>
        <w:left w:val="none" w:sz="0" w:space="0" w:color="auto"/>
        <w:bottom w:val="none" w:sz="0" w:space="0" w:color="auto"/>
        <w:right w:val="none" w:sz="0" w:space="0" w:color="auto"/>
      </w:divBdr>
      <w:divsChild>
        <w:div w:id="2009361886">
          <w:marLeft w:val="0"/>
          <w:marRight w:val="0"/>
          <w:marTop w:val="100"/>
          <w:marBottom w:val="100"/>
          <w:divBdr>
            <w:top w:val="none" w:sz="0" w:space="0" w:color="auto"/>
            <w:left w:val="none" w:sz="0" w:space="0" w:color="auto"/>
            <w:bottom w:val="none" w:sz="0" w:space="0" w:color="auto"/>
            <w:right w:val="none" w:sz="0" w:space="0" w:color="auto"/>
          </w:divBdr>
          <w:divsChild>
            <w:div w:id="2009361885">
              <w:marLeft w:val="0"/>
              <w:marRight w:val="0"/>
              <w:marTop w:val="0"/>
              <w:marBottom w:val="230"/>
              <w:divBdr>
                <w:top w:val="none" w:sz="0" w:space="0" w:color="auto"/>
                <w:left w:val="none" w:sz="0" w:space="0" w:color="auto"/>
                <w:bottom w:val="none" w:sz="0" w:space="0" w:color="auto"/>
                <w:right w:val="none" w:sz="0" w:space="0" w:color="auto"/>
              </w:divBdr>
              <w:divsChild>
                <w:div w:id="2009361882">
                  <w:marLeft w:val="0"/>
                  <w:marRight w:val="0"/>
                  <w:marTop w:val="0"/>
                  <w:marBottom w:val="0"/>
                  <w:divBdr>
                    <w:top w:val="none" w:sz="0" w:space="0" w:color="auto"/>
                    <w:left w:val="none" w:sz="0" w:space="0" w:color="auto"/>
                    <w:bottom w:val="none" w:sz="0" w:space="0" w:color="auto"/>
                    <w:right w:val="none" w:sz="0" w:space="0" w:color="auto"/>
                  </w:divBdr>
                  <w:divsChild>
                    <w:div w:id="2009361876">
                      <w:marLeft w:val="0"/>
                      <w:marRight w:val="0"/>
                      <w:marTop w:val="0"/>
                      <w:marBottom w:val="0"/>
                      <w:divBdr>
                        <w:top w:val="none" w:sz="0" w:space="0" w:color="auto"/>
                        <w:left w:val="none" w:sz="0" w:space="0" w:color="auto"/>
                        <w:bottom w:val="none" w:sz="0" w:space="0" w:color="auto"/>
                        <w:right w:val="none" w:sz="0" w:space="0" w:color="auto"/>
                      </w:divBdr>
                      <w:divsChild>
                        <w:div w:id="2009361879">
                          <w:marLeft w:val="0"/>
                          <w:marRight w:val="0"/>
                          <w:marTop w:val="0"/>
                          <w:marBottom w:val="230"/>
                          <w:divBdr>
                            <w:top w:val="none" w:sz="0" w:space="0" w:color="auto"/>
                            <w:left w:val="none" w:sz="0" w:space="0" w:color="auto"/>
                            <w:bottom w:val="none" w:sz="0" w:space="0" w:color="auto"/>
                            <w:right w:val="none" w:sz="0" w:space="0" w:color="auto"/>
                          </w:divBdr>
                        </w:div>
                        <w:div w:id="2009361884">
                          <w:marLeft w:val="0"/>
                          <w:marRight w:val="691"/>
                          <w:marTop w:val="0"/>
                          <w:marBottom w:val="115"/>
                          <w:divBdr>
                            <w:top w:val="none" w:sz="0" w:space="0" w:color="auto"/>
                            <w:left w:val="none" w:sz="0" w:space="0" w:color="auto"/>
                            <w:bottom w:val="none" w:sz="0" w:space="0" w:color="auto"/>
                            <w:right w:val="none" w:sz="0" w:space="0" w:color="auto"/>
                          </w:divBdr>
                        </w:div>
                        <w:div w:id="200936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395</TotalTime>
  <Pages>4</Pages>
  <Words>1043</Words>
  <Characters>5741</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Entretiens de la Cour du mercredi 24 juin 2015</dc:title>
  <dc:subject/>
  <dc:creator>Guillaume</dc:creator>
  <cp:keywords/>
  <dc:description/>
  <cp:lastModifiedBy>gdelataille</cp:lastModifiedBy>
  <cp:revision>7</cp:revision>
  <dcterms:created xsi:type="dcterms:W3CDTF">2015-10-25T09:11:00Z</dcterms:created>
  <dcterms:modified xsi:type="dcterms:W3CDTF">2015-10-28T09:58:00Z</dcterms:modified>
</cp:coreProperties>
</file>